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3B" w:rsidRPr="00FC653B" w:rsidRDefault="00FC653B" w:rsidP="00FC653B">
      <w:pPr>
        <w:pStyle w:val="1"/>
        <w:spacing w:line="360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C653B">
        <w:rPr>
          <w:rFonts w:ascii="Times New Roman" w:hAnsi="Times New Roman" w:cs="Times New Roman"/>
          <w:b/>
          <w:bCs/>
          <w:lang w:val="en-GB"/>
        </w:rPr>
        <w:t>Empatiyaning</w:t>
      </w:r>
      <w:proofErr w:type="spellEnd"/>
      <w:r w:rsidRPr="00FC653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b/>
          <w:bCs/>
          <w:lang w:val="en-GB"/>
        </w:rPr>
        <w:t>ekspressiv</w:t>
      </w:r>
      <w:proofErr w:type="spellEnd"/>
      <w:r w:rsidRPr="00FC653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b/>
          <w:bCs/>
          <w:lang w:val="en-GB"/>
        </w:rPr>
        <w:t>diagnostikasi</w:t>
      </w:r>
      <w:proofErr w:type="spellEnd"/>
    </w:p>
    <w:p w:rsidR="00FC653B" w:rsidRPr="00FC653B" w:rsidRDefault="00FC653B" w:rsidP="00FC65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FC653B">
        <w:rPr>
          <w:rFonts w:ascii="Times New Roman" w:hAnsi="Times New Roman" w:cs="Times New Roman"/>
          <w:sz w:val="28"/>
          <w:szCs w:val="28"/>
          <w:lang w:val="en-GB"/>
        </w:rPr>
        <w:t>Ushbu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metodikani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bajarish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vaqtida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sinaluvchilar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o’zlarini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xotirjam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tutib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ochiq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javob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berishlari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so’raladi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Bu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erda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hech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qanday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to’g’ri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yoki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FC653B">
        <w:rPr>
          <w:rFonts w:ascii="Times New Roman" w:hAnsi="Times New Roman" w:cs="Times New Roman"/>
          <w:sz w:val="28"/>
          <w:szCs w:val="28"/>
          <w:lang w:val="en-GB"/>
        </w:rPr>
        <w:t>noto’g’ri</w:t>
      </w:r>
      <w:proofErr w:type="spellEnd"/>
      <w:proofErr w:type="gram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javobni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aniqlash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maqsadi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yo’q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FC653B">
        <w:rPr>
          <w:rFonts w:ascii="Times New Roman" w:hAnsi="Times New Roman" w:cs="Times New Roman"/>
          <w:sz w:val="28"/>
          <w:szCs w:val="28"/>
          <w:lang w:val="en-GB"/>
        </w:rPr>
        <w:t>Ularga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berilgan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baholash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mezonlaridan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birini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tanlashlari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tavsiya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etiladi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567"/>
        <w:gridCol w:w="709"/>
        <w:gridCol w:w="567"/>
        <w:gridCol w:w="709"/>
        <w:gridCol w:w="709"/>
        <w:gridCol w:w="808"/>
      </w:tblGrid>
      <w:tr w:rsidR="00FC653B" w:rsidRPr="00FC653B" w:rsidTr="009540BB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B" w:rsidRPr="00FC653B" w:rsidRDefault="00FC653B" w:rsidP="009540BB">
            <w:pPr>
              <w:pStyle w:val="1"/>
              <w:overflowPunct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position w:val="0"/>
              </w:rPr>
            </w:pPr>
            <w:r w:rsidRPr="00FC653B">
              <w:rPr>
                <w:rFonts w:ascii="Times New Roman" w:hAnsi="Times New Roman" w:cs="Times New Roman"/>
                <w:position w:val="0"/>
              </w:rPr>
              <w:t>TASDIQLAR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53B" w:rsidRPr="00FC653B" w:rsidRDefault="00FC653B" w:rsidP="009540B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Bilmayman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53B" w:rsidRPr="00FC653B" w:rsidRDefault="00FC653B" w:rsidP="009540B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Hech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qachon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yo’q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53B" w:rsidRPr="00FC653B" w:rsidRDefault="00FC653B" w:rsidP="009540B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Ba’zan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53B" w:rsidRPr="00FC653B" w:rsidRDefault="00FC653B" w:rsidP="009540B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Tez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tez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53B" w:rsidRPr="00FC653B" w:rsidRDefault="00FC653B" w:rsidP="009540B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Deyarli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doim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53B" w:rsidRPr="00FC653B" w:rsidRDefault="00FC653B" w:rsidP="009540B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Doimo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ha</w:t>
            </w:r>
            <w:proofErr w:type="spellEnd"/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Menga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taniqli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kishilar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hayoti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to’g’risidagi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asarlardan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ko’ra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sayohatga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bag’ishlangan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kitoblar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yoqadi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Balog’at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yoshidagi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bolalar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katta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yoshdagilarni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muammo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sifatida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bezovta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qiladi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Menga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o’zga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kishilarning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yutuq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kamchiliklari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haqida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fikrlash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yoqadi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Men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musiqali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eshittirishlar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orasida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zamonaviylarini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afzal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ko’raman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Kasallarning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haddan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ortiq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ta’na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injiqliklari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yillab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davom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etsa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ham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chidash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kerak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Kasal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hech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bo’lmasa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so’z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bilan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dalda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berish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lozim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Ikki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o’rtasidagi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nizoga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chet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kishining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aralashishi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lozim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emas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Keksa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odatda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sababsiz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xafa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bo’ladilar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Bolaligimda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g’amli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hodisalarni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eshitsam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ko’zimdan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o’z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o’zidan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oqardi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Ota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>-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onamning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asabiy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holati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kayfiyatimga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ta’sir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ko’rsatadi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Nomimga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qaratilgan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tanqidga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beparvoman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Menga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manzaraga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nisbatan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portret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rasmlar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yoqadi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Men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qanday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ota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>-</w:t>
            </w: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onani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nohaq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bo’lsa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ham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kechiraman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Agar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ot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sekin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yursa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niqtash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kerak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haqida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dramatik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voqealarni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o’qisam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guyo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o’zimda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yuz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berayotgandek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tuyuladi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Ota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>-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onalar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farzandlariga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adolatli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yondashadilar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Janjallashayotgan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o’spirinlarni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odamlarni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ko’rsam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aralashmasdan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qo’ymayman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Men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ota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>-</w:t>
            </w: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onamning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noxush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kayfiyatiga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e’tibor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bermayman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Boshqa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ishlarni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chetga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surib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qo’yib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qushlar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hayvonlarning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xulq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atvorini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uzoq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kuzataman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Kinofilm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spektakllar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ko’ngilchan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yig’latishi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mumkin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Notanish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kishilarning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yuz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ifodasi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xulq</w:t>
            </w:r>
            <w:r w:rsidRPr="00FC653B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>-</w:t>
            </w: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atvorini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kuzatishni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yoqtiraman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Bolaligimda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uyimizga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daydi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it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mushuklarni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olib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kelardim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Hamma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odamlar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asossiz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xafa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bo’lishadi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Notanish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nazarim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tushsa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darhol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hayot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tarziga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qiziqaman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Oqsoqlangan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hayvonni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ko’rsam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yordam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berishga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intilaman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Bolaligimda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kichik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yoshdagilar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ortimdan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soyadek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ergashib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yurardilar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Agar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arzini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diqqat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bilan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tinglasang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yengillik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paydo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bo’ladi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Ko’chada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yuz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bergan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hodisaga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duch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kelsam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guvohlar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sarasiga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kirib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qolmaslikka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urinaman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Kichik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yoshdagilarga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o’z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g’oyalarim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ishim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qiziqishlarimni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taklif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qilsam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ularga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yoqadi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hayvonlarning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qobiliyatini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o’z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kayfiyatlarini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ko’tarish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uchun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oshiradilar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Inson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qiyin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nizoli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vaziyatlardan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o’zi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mustaqil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chiqishi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lozim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Bola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sababsiz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yig’lamaydi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YOshlar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keksalarning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qanday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iltimos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talablarini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qondirishi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kerak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Menda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ayrim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sinfdoshlarimning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ba’zan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o’ychan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bo’lib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qolishlari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sababini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qilish</w:t>
            </w:r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harakar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arovsiz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qolgan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uy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hayvonlarini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o’ldirish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kerak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Agar</w:t>
            </w: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stlarim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shaxsiy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muammolarini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muhokama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qila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boshlasalar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suhbat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mavzusini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</w:t>
            </w: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zgartiraman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53B" w:rsidRPr="00FC653B" w:rsidRDefault="00FC653B" w:rsidP="00FC653B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FC653B" w:rsidRPr="00FC653B" w:rsidRDefault="00FC653B" w:rsidP="00FC653B">
      <w:pPr>
        <w:spacing w:line="360" w:lineRule="auto"/>
        <w:ind w:left="225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C653B">
        <w:rPr>
          <w:rFonts w:ascii="Times New Roman" w:hAnsi="Times New Roman" w:cs="Times New Roman"/>
          <w:b/>
          <w:sz w:val="28"/>
          <w:szCs w:val="28"/>
          <w:lang w:val="en-GB"/>
        </w:rPr>
        <w:t>TEST KALITI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3081"/>
      </w:tblGrid>
      <w:tr w:rsidR="00FC653B" w:rsidRPr="00FC653B" w:rsidTr="009540BB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pStyle w:val="1"/>
              <w:overflowPunct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/>
                <w:position w:val="0"/>
              </w:rPr>
            </w:pPr>
            <w:r w:rsidRPr="00FC653B">
              <w:rPr>
                <w:rFonts w:ascii="Times New Roman" w:hAnsi="Times New Roman" w:cs="Times New Roman"/>
                <w:b/>
                <w:position w:val="0"/>
                <w:lang w:val="en-US"/>
              </w:rPr>
              <w:t>SH</w:t>
            </w:r>
            <w:r w:rsidRPr="00FC653B">
              <w:rPr>
                <w:rFonts w:ascii="Times New Roman" w:hAnsi="Times New Roman" w:cs="Times New Roman"/>
                <w:b/>
                <w:position w:val="0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b/>
                <w:position w:val="0"/>
              </w:rPr>
              <w:t>k</w:t>
            </w:r>
            <w:proofErr w:type="spellEnd"/>
            <w:r w:rsidRPr="00FC653B">
              <w:rPr>
                <w:rFonts w:ascii="Times New Roman" w:hAnsi="Times New Roman" w:cs="Times New Roman"/>
                <w:b/>
                <w:position w:val="0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b/>
                <w:position w:val="0"/>
              </w:rPr>
              <w:t>a</w:t>
            </w:r>
            <w:proofErr w:type="spellEnd"/>
            <w:r w:rsidRPr="00FC653B">
              <w:rPr>
                <w:rFonts w:ascii="Times New Roman" w:hAnsi="Times New Roman" w:cs="Times New Roman"/>
                <w:b/>
                <w:position w:val="0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b/>
                <w:position w:val="0"/>
              </w:rPr>
              <w:t>l</w:t>
            </w:r>
            <w:proofErr w:type="spellEnd"/>
            <w:r w:rsidRPr="00FC653B">
              <w:rPr>
                <w:rFonts w:ascii="Times New Roman" w:hAnsi="Times New Roman" w:cs="Times New Roman"/>
                <w:b/>
                <w:position w:val="0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b/>
                <w:position w:val="0"/>
              </w:rPr>
              <w:t>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b/>
                <w:sz w:val="28"/>
                <w:szCs w:val="28"/>
              </w:rPr>
              <w:t>Tasdiq</w:t>
            </w:r>
            <w:proofErr w:type="spellEnd"/>
            <w:r w:rsidRPr="00FC6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b/>
                <w:sz w:val="28"/>
                <w:szCs w:val="28"/>
              </w:rPr>
              <w:t>nomeri</w:t>
            </w:r>
            <w:proofErr w:type="spellEnd"/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Ota-onalarga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empatiya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10, 13, 16</w:t>
            </w: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Hayvonlarga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empatiya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19, 22, 25</w:t>
            </w: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Keksalarga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empatiya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2, 5, 8</w:t>
            </w: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Bolalarga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empatiya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26, 29, 35</w:t>
            </w: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Badiiy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asar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qahramonlariga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empatiya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9, 12, 15</w:t>
            </w:r>
          </w:p>
        </w:tc>
      </w:tr>
      <w:tr w:rsidR="00FC653B" w:rsidRPr="00FC653B" w:rsidTr="009540B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Notanish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yoki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kam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tanish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kishilarga</w:t>
            </w:r>
            <w:proofErr w:type="spellEnd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5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empatiya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3B" w:rsidRPr="00FC653B" w:rsidRDefault="00FC653B" w:rsidP="009540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3B">
              <w:rPr>
                <w:rFonts w:ascii="Times New Roman" w:hAnsi="Times New Roman" w:cs="Times New Roman"/>
                <w:sz w:val="28"/>
                <w:szCs w:val="28"/>
              </w:rPr>
              <w:t>21, 24, 27</w:t>
            </w:r>
          </w:p>
        </w:tc>
      </w:tr>
    </w:tbl>
    <w:p w:rsidR="00FC653B" w:rsidRPr="00FC653B" w:rsidRDefault="00FC653B" w:rsidP="00FC653B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FC653B" w:rsidRPr="00FC653B" w:rsidRDefault="00FC653B" w:rsidP="00FC653B">
      <w:pPr>
        <w:pStyle w:val="a3"/>
        <w:spacing w:line="360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C653B">
        <w:rPr>
          <w:rFonts w:ascii="Times New Roman" w:hAnsi="Times New Roman" w:cs="Times New Roman"/>
          <w:b/>
          <w:bCs/>
          <w:lang w:val="en-GB"/>
        </w:rPr>
        <w:t>Umumiy</w:t>
      </w:r>
      <w:proofErr w:type="spellEnd"/>
      <w:r w:rsidRPr="00FC653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b/>
          <w:bCs/>
        </w:rPr>
        <w:t>h</w:t>
      </w:r>
      <w:r w:rsidRPr="00FC653B">
        <w:rPr>
          <w:rFonts w:ascii="Times New Roman" w:hAnsi="Times New Roman" w:cs="Times New Roman"/>
          <w:b/>
          <w:bCs/>
          <w:lang w:val="en-GB"/>
        </w:rPr>
        <w:t>isob</w:t>
      </w:r>
      <w:proofErr w:type="spellEnd"/>
      <w:r w:rsidRPr="00FC653B">
        <w:rPr>
          <w:rFonts w:ascii="Times New Roman" w:hAnsi="Times New Roman" w:cs="Times New Roman"/>
          <w:b/>
          <w:bCs/>
          <w:lang w:val="en-GB"/>
        </w:rPr>
        <w:t>:</w:t>
      </w:r>
    </w:p>
    <w:p w:rsidR="00FC653B" w:rsidRPr="00FC653B" w:rsidRDefault="00FC653B" w:rsidP="00FC653B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ga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teng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bo’lsa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natija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ishonchli</w:t>
      </w:r>
      <w:proofErr w:type="spellEnd"/>
    </w:p>
    <w:p w:rsidR="00FC653B" w:rsidRPr="00FC653B" w:rsidRDefault="00FC653B" w:rsidP="00FC653B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4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ga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teng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bo’lsa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shubhali</w:t>
      </w:r>
      <w:proofErr w:type="spellEnd"/>
    </w:p>
    <w:p w:rsidR="00FC653B" w:rsidRPr="00FC653B" w:rsidRDefault="00FC653B" w:rsidP="00FC653B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3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yoki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FC653B">
        <w:rPr>
          <w:rFonts w:ascii="Times New Roman" w:hAnsi="Times New Roman" w:cs="Times New Roman"/>
          <w:sz w:val="28"/>
          <w:szCs w:val="28"/>
          <w:lang w:val="en-GB"/>
        </w:rPr>
        <w:t>kichik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bo’lsa</w:t>
      </w:r>
      <w:proofErr w:type="spellEnd"/>
      <w:proofErr w:type="gram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natija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ishonchli</w:t>
      </w:r>
      <w:proofErr w:type="spellEnd"/>
      <w:r w:rsidRPr="00FC65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C653B">
        <w:rPr>
          <w:rFonts w:ascii="Times New Roman" w:hAnsi="Times New Roman" w:cs="Times New Roman"/>
          <w:sz w:val="28"/>
          <w:szCs w:val="28"/>
          <w:lang w:val="en-GB"/>
        </w:rPr>
        <w:t>emas</w:t>
      </w:r>
      <w:proofErr w:type="spellEnd"/>
    </w:p>
    <w:p w:rsidR="00663435" w:rsidRPr="00FC653B" w:rsidRDefault="00663435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663435" w:rsidRPr="00FC653B" w:rsidSect="0066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53B"/>
    <w:rsid w:val="00663435"/>
    <w:rsid w:val="00FC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B"/>
  </w:style>
  <w:style w:type="paragraph" w:styleId="1">
    <w:name w:val="heading 1"/>
    <w:basedOn w:val="a"/>
    <w:next w:val="a"/>
    <w:link w:val="10"/>
    <w:qFormat/>
    <w:rsid w:val="00FC653B"/>
    <w:pPr>
      <w:keepNext/>
      <w:overflowPunct w:val="0"/>
      <w:autoSpaceDE w:val="0"/>
      <w:autoSpaceDN w:val="0"/>
      <w:adjustRightInd w:val="0"/>
      <w:spacing w:after="0" w:line="480" w:lineRule="atLeast"/>
      <w:jc w:val="center"/>
      <w:outlineLvl w:val="0"/>
    </w:pPr>
    <w:rPr>
      <w:rFonts w:ascii="BalticaUzbek" w:eastAsia="Times New Roman" w:hAnsi="BalticaUzbek" w:cs="BalticaUzbek"/>
      <w:position w:val="2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53B"/>
    <w:rPr>
      <w:rFonts w:ascii="BalticaUzbek" w:eastAsia="Times New Roman" w:hAnsi="BalticaUzbek" w:cs="BalticaUzbek"/>
      <w:position w:val="26"/>
      <w:sz w:val="28"/>
      <w:szCs w:val="28"/>
      <w:lang w:eastAsia="ru-RU"/>
    </w:rPr>
  </w:style>
  <w:style w:type="paragraph" w:styleId="a3">
    <w:name w:val="Body Text Indent"/>
    <w:basedOn w:val="a"/>
    <w:link w:val="a4"/>
    <w:rsid w:val="00FC653B"/>
    <w:pPr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BalticaUzbek" w:eastAsia="Times New Roman" w:hAnsi="BalticaUzbek" w:cs="BalticaUzbek"/>
      <w:position w:val="26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653B"/>
    <w:rPr>
      <w:rFonts w:ascii="BalticaUzbek" w:eastAsia="Times New Roman" w:hAnsi="BalticaUzbek" w:cs="BalticaUzbek"/>
      <w:position w:val="2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yusupova.m</dc:creator>
  <cp:lastModifiedBy>yusupova.m</cp:lastModifiedBy>
  <cp:revision>1</cp:revision>
  <dcterms:created xsi:type="dcterms:W3CDTF">2017-05-31T05:24:00Z</dcterms:created>
  <dcterms:modified xsi:type="dcterms:W3CDTF">2017-05-31T05:25:00Z</dcterms:modified>
</cp:coreProperties>
</file>